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314E" w:rsidRDefault="00FB314E" w:rsidP="00FB314E">
      <w:pPr>
        <w:ind w:left="-1276" w:firstLine="1276"/>
      </w:pPr>
    </w:p>
    <w:p w:rsidR="00BE222A" w:rsidRDefault="00BE222A" w:rsidP="00BE222A">
      <w:pPr>
        <w:spacing w:line="360" w:lineRule="auto"/>
        <w:jc w:val="center"/>
        <w:rPr>
          <w:rFonts w:ascii="Noteworthy Light" w:hAnsi="Noteworthy Light"/>
        </w:rPr>
      </w:pPr>
    </w:p>
    <w:p w:rsidR="00FB314E" w:rsidRPr="00BE222A" w:rsidRDefault="00FB314E" w:rsidP="00BE222A">
      <w:pPr>
        <w:spacing w:line="360" w:lineRule="auto"/>
        <w:jc w:val="center"/>
        <w:rPr>
          <w:rFonts w:ascii="Noteworthy Light" w:hAnsi="Noteworthy Light"/>
        </w:rPr>
      </w:pPr>
      <w:r w:rsidRPr="00D17CAC">
        <w:rPr>
          <w:rFonts w:ascii="Noteworthy Light" w:hAnsi="Noteworthy Light"/>
        </w:rPr>
        <w:t>PROGRAMMATION EPS</w:t>
      </w:r>
      <w:r>
        <w:rPr>
          <w:rFonts w:ascii="Noteworthy Light" w:hAnsi="Noteworthy Light"/>
        </w:rPr>
        <w:t xml:space="preserve"> 2022/2023</w:t>
      </w:r>
    </w:p>
    <w:tbl>
      <w:tblPr>
        <w:tblStyle w:val="Grilledutableau"/>
        <w:tblW w:w="161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48"/>
        <w:gridCol w:w="2891"/>
        <w:gridCol w:w="3106"/>
        <w:gridCol w:w="3073"/>
        <w:gridCol w:w="3154"/>
        <w:gridCol w:w="3088"/>
      </w:tblGrid>
      <w:tr w:rsidR="00BE222A" w:rsidRPr="001F42B1" w:rsidTr="00BE222A">
        <w:trPr>
          <w:trHeight w:val="617"/>
        </w:trPr>
        <w:tc>
          <w:tcPr>
            <w:tcW w:w="848" w:type="dxa"/>
            <w:vAlign w:val="center"/>
          </w:tcPr>
          <w:p w:rsidR="00FB314E" w:rsidRPr="001F42B1" w:rsidRDefault="00FB314E" w:rsidP="00BE222A">
            <w:pPr>
              <w:ind w:right="-604"/>
              <w:rPr>
                <w:rFonts w:ascii="Century Gothic" w:hAnsi="Century Gothic"/>
              </w:rPr>
            </w:pPr>
          </w:p>
        </w:tc>
        <w:tc>
          <w:tcPr>
            <w:tcW w:w="2891" w:type="dxa"/>
            <w:shd w:val="clear" w:color="auto" w:fill="E1EBF7" w:themeFill="text2" w:themeFillTint="1A"/>
            <w:vAlign w:val="center"/>
          </w:tcPr>
          <w:p w:rsidR="00FB314E" w:rsidRPr="00197E2E" w:rsidRDefault="00FB314E" w:rsidP="00BE222A">
            <w:pPr>
              <w:jc w:val="center"/>
              <w:rPr>
                <w:rFonts w:ascii="Noteworthy Light" w:hAnsi="Noteworthy Light" w:cstheme="minorHAnsi"/>
                <w:sz w:val="16"/>
                <w:szCs w:val="16"/>
              </w:rPr>
            </w:pPr>
            <w:r w:rsidRPr="00197E2E">
              <w:rPr>
                <w:rFonts w:ascii="Noteworthy Light" w:hAnsi="Noteworthy Light" w:cstheme="minorHAnsi"/>
                <w:sz w:val="16"/>
                <w:szCs w:val="16"/>
              </w:rPr>
              <w:t>PERIODE 1</w:t>
            </w:r>
          </w:p>
        </w:tc>
        <w:tc>
          <w:tcPr>
            <w:tcW w:w="3106" w:type="dxa"/>
            <w:shd w:val="clear" w:color="auto" w:fill="E1EBF7" w:themeFill="text2" w:themeFillTint="1A"/>
            <w:vAlign w:val="center"/>
          </w:tcPr>
          <w:p w:rsidR="00FB314E" w:rsidRPr="00197E2E" w:rsidRDefault="00FB314E" w:rsidP="00BE222A">
            <w:pPr>
              <w:jc w:val="center"/>
              <w:rPr>
                <w:rFonts w:ascii="Noteworthy Light" w:hAnsi="Noteworthy Light" w:cstheme="minorHAnsi"/>
                <w:sz w:val="16"/>
                <w:szCs w:val="16"/>
              </w:rPr>
            </w:pPr>
            <w:r w:rsidRPr="00197E2E">
              <w:rPr>
                <w:rFonts w:ascii="Noteworthy Light" w:hAnsi="Noteworthy Light" w:cstheme="minorHAnsi"/>
                <w:sz w:val="16"/>
                <w:szCs w:val="16"/>
              </w:rPr>
              <w:t>PERIODE 2</w:t>
            </w:r>
          </w:p>
        </w:tc>
        <w:tc>
          <w:tcPr>
            <w:tcW w:w="3073" w:type="dxa"/>
            <w:shd w:val="clear" w:color="auto" w:fill="E1EBF7" w:themeFill="text2" w:themeFillTint="1A"/>
            <w:vAlign w:val="center"/>
          </w:tcPr>
          <w:p w:rsidR="00FB314E" w:rsidRPr="00197E2E" w:rsidRDefault="00FB314E" w:rsidP="00BE222A">
            <w:pPr>
              <w:jc w:val="center"/>
              <w:rPr>
                <w:rFonts w:ascii="Noteworthy Light" w:hAnsi="Noteworthy Light" w:cstheme="minorHAnsi"/>
                <w:sz w:val="16"/>
                <w:szCs w:val="16"/>
              </w:rPr>
            </w:pPr>
            <w:r w:rsidRPr="00197E2E">
              <w:rPr>
                <w:rFonts w:ascii="Noteworthy Light" w:hAnsi="Noteworthy Light" w:cstheme="minorHAnsi"/>
                <w:sz w:val="16"/>
                <w:szCs w:val="16"/>
              </w:rPr>
              <w:t>PERIODE 3</w:t>
            </w:r>
          </w:p>
        </w:tc>
        <w:tc>
          <w:tcPr>
            <w:tcW w:w="3154" w:type="dxa"/>
            <w:shd w:val="clear" w:color="auto" w:fill="E1EBF7" w:themeFill="text2" w:themeFillTint="1A"/>
            <w:vAlign w:val="center"/>
          </w:tcPr>
          <w:p w:rsidR="00FB314E" w:rsidRPr="00197E2E" w:rsidRDefault="00FB314E" w:rsidP="00BE222A">
            <w:pPr>
              <w:jc w:val="center"/>
              <w:rPr>
                <w:rFonts w:ascii="Noteworthy Light" w:hAnsi="Noteworthy Light" w:cstheme="minorHAnsi"/>
                <w:sz w:val="16"/>
                <w:szCs w:val="16"/>
              </w:rPr>
            </w:pPr>
            <w:r w:rsidRPr="00197E2E">
              <w:rPr>
                <w:rFonts w:ascii="Noteworthy Light" w:hAnsi="Noteworthy Light" w:cstheme="minorHAnsi"/>
                <w:sz w:val="16"/>
                <w:szCs w:val="16"/>
              </w:rPr>
              <w:t>PERIODE 4</w:t>
            </w:r>
          </w:p>
        </w:tc>
        <w:tc>
          <w:tcPr>
            <w:tcW w:w="3088" w:type="dxa"/>
            <w:shd w:val="clear" w:color="auto" w:fill="E1EBF7" w:themeFill="text2" w:themeFillTint="1A"/>
            <w:vAlign w:val="center"/>
          </w:tcPr>
          <w:p w:rsidR="00FB314E" w:rsidRPr="00197E2E" w:rsidRDefault="00FB314E" w:rsidP="00BE222A">
            <w:pPr>
              <w:jc w:val="center"/>
              <w:rPr>
                <w:rFonts w:ascii="Noteworthy Light" w:hAnsi="Noteworthy Light" w:cstheme="minorHAnsi"/>
                <w:sz w:val="16"/>
                <w:szCs w:val="16"/>
              </w:rPr>
            </w:pPr>
            <w:r w:rsidRPr="00197E2E">
              <w:rPr>
                <w:rFonts w:ascii="Noteworthy Light" w:hAnsi="Noteworthy Light" w:cstheme="minorHAnsi"/>
                <w:sz w:val="16"/>
                <w:szCs w:val="16"/>
              </w:rPr>
              <w:t>PERIODE 5</w:t>
            </w:r>
          </w:p>
        </w:tc>
      </w:tr>
      <w:tr w:rsidR="00BE222A" w:rsidRPr="001F42B1" w:rsidTr="00BE222A">
        <w:trPr>
          <w:cantSplit/>
          <w:trHeight w:val="2689"/>
        </w:trPr>
        <w:tc>
          <w:tcPr>
            <w:tcW w:w="848" w:type="dxa"/>
            <w:textDirection w:val="btLr"/>
            <w:vAlign w:val="center"/>
          </w:tcPr>
          <w:p w:rsidR="00FB314E" w:rsidRPr="001E6270" w:rsidRDefault="00FB314E" w:rsidP="00BE222A">
            <w:pPr>
              <w:ind w:left="113" w:right="113"/>
              <w:jc w:val="center"/>
              <w:rPr>
                <w:rFonts w:ascii="Century Gothic" w:hAnsi="Century Gothic" w:cstheme="majorHAnsi"/>
                <w:b/>
                <w:bCs/>
                <w:sz w:val="22"/>
                <w:szCs w:val="22"/>
              </w:rPr>
            </w:pPr>
            <w:r w:rsidRPr="001E6270">
              <w:rPr>
                <w:rFonts w:ascii="Century Gothic" w:hAnsi="Century Gothic" w:cstheme="majorHAnsi"/>
                <w:b/>
                <w:bCs/>
                <w:sz w:val="22"/>
                <w:szCs w:val="22"/>
              </w:rPr>
              <w:t>S</w:t>
            </w:r>
            <w:r>
              <w:rPr>
                <w:rFonts w:ascii="Century Gothic" w:hAnsi="Century Gothic" w:cstheme="majorHAnsi"/>
                <w:b/>
                <w:bCs/>
                <w:sz w:val="22"/>
                <w:szCs w:val="22"/>
              </w:rPr>
              <w:t xml:space="preserve">éance </w:t>
            </w:r>
            <w:r w:rsidRPr="001E6270">
              <w:rPr>
                <w:rFonts w:ascii="Century Gothic" w:hAnsi="Century Gothic" w:cstheme="majorHAnsi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2891" w:type="dxa"/>
            <w:shd w:val="clear" w:color="auto" w:fill="F2DBDB" w:themeFill="accent2" w:themeFillTint="33"/>
            <w:vAlign w:val="center"/>
          </w:tcPr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t>Champs d’apprentissage n°1</w:t>
            </w:r>
          </w:p>
          <w:p w:rsidR="00FB314E" w:rsidRPr="00052AD8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 w:rsidRPr="00052AD8">
              <w:rPr>
                <w:rFonts w:ascii="Century Gothic" w:hAnsi="Century Gothic"/>
                <w:bCs/>
                <w:i/>
                <w:iCs/>
                <w:color w:val="000000" w:themeColor="text1"/>
                <w:sz w:val="16"/>
                <w:szCs w:val="22"/>
              </w:rPr>
              <w:t>Produire une performance maximale mesurée à une échéance donnée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18"/>
              </w:rPr>
            </w:pPr>
          </w:p>
          <w:p w:rsidR="00FB314E" w:rsidRPr="00970CCA" w:rsidRDefault="00FB314E" w:rsidP="00BE222A">
            <w:pPr>
              <w:jc w:val="center"/>
              <w:rPr>
                <w:rFonts w:ascii="Century Gothic" w:hAnsi="Century Gothic" w:cstheme="minorHAnsi"/>
                <w:bCs/>
                <w:color w:val="000000" w:themeColor="text1"/>
              </w:rPr>
            </w:pPr>
            <w:r w:rsidRPr="00970CCA">
              <w:rPr>
                <w:rFonts w:ascii="Century Gothic" w:hAnsi="Century Gothic" w:cstheme="minorHAnsi"/>
                <w:bCs/>
                <w:color w:val="000000" w:themeColor="text1"/>
              </w:rPr>
              <w:t>ACTIVITES ATHLETIQUES : COURIR LONGTEMPS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1"/>
                <w:szCs w:val="32"/>
              </w:rPr>
            </w:pP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Préparation au Cross de l’USEP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</w:rPr>
            </w:pPr>
          </w:p>
        </w:tc>
        <w:tc>
          <w:tcPr>
            <w:tcW w:w="3106" w:type="dxa"/>
            <w:shd w:val="clear" w:color="auto" w:fill="F2DBDB" w:themeFill="accent2" w:themeFillTint="33"/>
            <w:vAlign w:val="center"/>
          </w:tcPr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t>Champs d’apprentissage n°1</w:t>
            </w:r>
          </w:p>
          <w:p w:rsidR="00FB314E" w:rsidRPr="00052AD8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 w:rsidRPr="00052AD8">
              <w:rPr>
                <w:rFonts w:ascii="Century Gothic" w:hAnsi="Century Gothic"/>
                <w:bCs/>
                <w:i/>
                <w:iCs/>
                <w:color w:val="000000" w:themeColor="text1"/>
                <w:sz w:val="16"/>
                <w:szCs w:val="22"/>
              </w:rPr>
              <w:t>Produire une performance maximale mesurée à une échéance donnée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18"/>
              </w:rPr>
            </w:pPr>
          </w:p>
          <w:p w:rsidR="00FB314E" w:rsidRPr="00970CCA" w:rsidRDefault="00FB314E" w:rsidP="00BE222A">
            <w:pPr>
              <w:jc w:val="center"/>
              <w:rPr>
                <w:rFonts w:ascii="Century Gothic" w:hAnsi="Century Gothic" w:cstheme="minorHAnsi"/>
                <w:bCs/>
                <w:color w:val="000000" w:themeColor="text1"/>
              </w:rPr>
            </w:pPr>
            <w:r w:rsidRPr="00970CCA">
              <w:rPr>
                <w:rFonts w:ascii="Century Gothic" w:hAnsi="Century Gothic" w:cstheme="minorHAnsi"/>
                <w:bCs/>
                <w:color w:val="000000" w:themeColor="text1"/>
              </w:rPr>
              <w:t>ACTIVITES ATHLETIQUES : COURIR LONGTEMPS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1"/>
                <w:szCs w:val="32"/>
              </w:rPr>
            </w:pP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 xml:space="preserve">Suite de la </w:t>
            </w:r>
            <w:r w:rsidRPr="005913B2"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 xml:space="preserve">Préparation </w:t>
            </w: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br/>
            </w:r>
            <w:r w:rsidRPr="005913B2"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au Cross de l’USEP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</w:tc>
        <w:tc>
          <w:tcPr>
            <w:tcW w:w="3073" w:type="dxa"/>
            <w:shd w:val="clear" w:color="auto" w:fill="EAF1DD" w:themeFill="accent3" w:themeFillTint="33"/>
            <w:vAlign w:val="center"/>
          </w:tcPr>
          <w:p w:rsidR="00FB314E" w:rsidRPr="00197E2E" w:rsidRDefault="00FB314E" w:rsidP="00BE222A">
            <w:pPr>
              <w:jc w:val="center"/>
              <w:rPr>
                <w:rFonts w:ascii="Century Gothic" w:hAnsi="Century Gothic"/>
                <w:color w:val="000000" w:themeColor="text1"/>
                <w:sz w:val="16"/>
                <w:szCs w:val="22"/>
              </w:rPr>
            </w:pPr>
            <w:r w:rsidRPr="00197E2E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22"/>
              </w:rPr>
              <w:t>Champs d’apprentissage n°2</w:t>
            </w:r>
            <w:r w:rsidRPr="00197E2E">
              <w:rPr>
                <w:rFonts w:ascii="Century Gothic" w:hAnsi="Century Gothic"/>
                <w:color w:val="000000" w:themeColor="text1"/>
                <w:sz w:val="16"/>
                <w:szCs w:val="22"/>
              </w:rPr>
              <w:br/>
            </w:r>
            <w:r w:rsidRPr="00197E2E">
              <w:rPr>
                <w:rFonts w:ascii="Century Gothic" w:hAnsi="Century Gothic"/>
                <w:i/>
                <w:iCs/>
                <w:color w:val="000000" w:themeColor="text1"/>
                <w:sz w:val="16"/>
                <w:szCs w:val="22"/>
              </w:rPr>
              <w:t>Adapter ses déplacements à des environnements variés</w:t>
            </w:r>
          </w:p>
          <w:p w:rsidR="00FB314E" w:rsidRPr="005913B2" w:rsidRDefault="00FB314E" w:rsidP="00BE222A">
            <w:pPr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FB314E" w:rsidRDefault="00FB314E" w:rsidP="00BE222A">
            <w:pPr>
              <w:jc w:val="center"/>
              <w:rPr>
                <w:rFonts w:ascii="Century Gothic" w:hAnsi="Century Gothic" w:cstheme="minorHAnsi"/>
                <w:bCs/>
                <w:color w:val="000000" w:themeColor="text1"/>
              </w:rPr>
            </w:pPr>
            <w:r w:rsidRPr="005913B2">
              <w:rPr>
                <w:rFonts w:ascii="Century Gothic" w:hAnsi="Century Gothic"/>
                <w:color w:val="000000" w:themeColor="text1"/>
              </w:rPr>
              <w:t>PATIN</w:t>
            </w:r>
            <w:r w:rsidRPr="005913B2">
              <w:rPr>
                <w:rFonts w:ascii="Century Gothic" w:hAnsi="Century Gothic" w:cstheme="minorHAnsi"/>
                <w:bCs/>
                <w:color w:val="000000" w:themeColor="text1"/>
              </w:rPr>
              <w:t>OIRE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1"/>
                <w:szCs w:val="32"/>
              </w:rPr>
            </w:pPr>
          </w:p>
          <w:p w:rsidR="00FB314E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Du 09/01 au 03/04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Accompagné par un animateur</w:t>
            </w:r>
          </w:p>
        </w:tc>
        <w:tc>
          <w:tcPr>
            <w:tcW w:w="3154" w:type="dxa"/>
            <w:shd w:val="clear" w:color="auto" w:fill="DAEEF3" w:themeFill="accent5" w:themeFillTint="33"/>
            <w:vAlign w:val="center"/>
          </w:tcPr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t>Champs d’apprentissage n°4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Cs/>
                <w:i/>
                <w:iCs/>
                <w:color w:val="000000" w:themeColor="text1"/>
                <w:sz w:val="16"/>
                <w:szCs w:val="22"/>
              </w:rPr>
              <w:t>Adapter ses déplacements à des environnements variés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FB314E" w:rsidRDefault="00FB314E" w:rsidP="00BE222A">
            <w:pPr>
              <w:jc w:val="center"/>
              <w:rPr>
                <w:rFonts w:ascii="Century Gothic" w:hAnsi="Century Gothic"/>
                <w:color w:val="000000" w:themeColor="text1"/>
              </w:rPr>
            </w:pPr>
            <w:r w:rsidRPr="005913B2">
              <w:rPr>
                <w:rFonts w:ascii="Century Gothic" w:hAnsi="Century Gothic"/>
                <w:color w:val="000000" w:themeColor="text1"/>
              </w:rPr>
              <w:t>DOJO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1"/>
                <w:szCs w:val="32"/>
              </w:rPr>
            </w:pP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Réserver le créneau de la salle</w:t>
            </w:r>
          </w:p>
        </w:tc>
        <w:tc>
          <w:tcPr>
            <w:tcW w:w="3088" w:type="dxa"/>
            <w:shd w:val="clear" w:color="auto" w:fill="EAF1DD" w:themeFill="accent3" w:themeFillTint="33"/>
            <w:vAlign w:val="center"/>
          </w:tcPr>
          <w:p w:rsidR="00FB314E" w:rsidRPr="00197E2E" w:rsidRDefault="00FB314E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</w:pPr>
            <w:r w:rsidRPr="00197E2E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t>Champs d’apprentissage n°2</w:t>
            </w:r>
            <w:r w:rsidRPr="00197E2E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br/>
            </w:r>
            <w:r w:rsidRPr="00197E2E"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Adapter ses déplacements à des environnements variés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18"/>
              </w:rPr>
            </w:pPr>
          </w:p>
          <w:p w:rsidR="00FB314E" w:rsidRPr="005913B2" w:rsidRDefault="00FB314E" w:rsidP="00BE222A">
            <w:pPr>
              <w:pStyle w:val="Contenudetableau"/>
              <w:snapToGrid w:val="0"/>
              <w:jc w:val="center"/>
              <w:rPr>
                <w:rFonts w:ascii="Century Gothic" w:hAnsi="Century Gothic"/>
                <w:b/>
                <w:color w:val="000000" w:themeColor="text1"/>
                <w:sz w:val="20"/>
              </w:rPr>
            </w:pPr>
          </w:p>
          <w:p w:rsidR="00FB314E" w:rsidRDefault="00FB314E" w:rsidP="00BE222A">
            <w:pPr>
              <w:pStyle w:val="Contenudetableau"/>
              <w:snapToGrid w:val="0"/>
              <w:jc w:val="center"/>
              <w:rPr>
                <w:rFonts w:ascii="Century Gothic" w:hAnsi="Century Gothic"/>
                <w:bCs/>
                <w:color w:val="000000" w:themeColor="text1"/>
                <w:szCs w:val="36"/>
              </w:rPr>
            </w:pPr>
            <w:r w:rsidRPr="005913B2">
              <w:rPr>
                <w:rFonts w:ascii="Century Gothic" w:hAnsi="Century Gothic"/>
                <w:bCs/>
                <w:color w:val="000000" w:themeColor="text1"/>
                <w:szCs w:val="36"/>
              </w:rPr>
              <w:t>ORIENTATION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1"/>
                <w:szCs w:val="32"/>
              </w:rPr>
            </w:pPr>
          </w:p>
          <w:p w:rsidR="00FB314E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Dans un milieu semi-connu</w:t>
            </w:r>
          </w:p>
          <w:p w:rsidR="00FB314E" w:rsidRPr="00B8132D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Parc Rivière</w:t>
            </w:r>
          </w:p>
        </w:tc>
      </w:tr>
      <w:tr w:rsidR="00BE222A" w:rsidRPr="001F42B1" w:rsidTr="00BE222A">
        <w:trPr>
          <w:cantSplit/>
          <w:trHeight w:val="2737"/>
        </w:trPr>
        <w:tc>
          <w:tcPr>
            <w:tcW w:w="848" w:type="dxa"/>
            <w:textDirection w:val="btLr"/>
            <w:vAlign w:val="center"/>
          </w:tcPr>
          <w:p w:rsidR="00FB314E" w:rsidRPr="00D17CAC" w:rsidRDefault="00FB314E" w:rsidP="00BE222A">
            <w:pPr>
              <w:ind w:left="113" w:right="113"/>
              <w:jc w:val="center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D17CAC">
              <w:rPr>
                <w:rFonts w:ascii="Century Gothic" w:hAnsi="Century Gothic"/>
                <w:b/>
                <w:bCs/>
                <w:sz w:val="22"/>
                <w:szCs w:val="22"/>
              </w:rPr>
              <w:t>S</w:t>
            </w: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 xml:space="preserve">éance </w:t>
            </w:r>
            <w:r w:rsidRPr="00D17CAC">
              <w:rPr>
                <w:rFonts w:ascii="Century Gothic" w:hAnsi="Century Gothic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2891" w:type="dxa"/>
            <w:shd w:val="clear" w:color="auto" w:fill="DAEEF3" w:themeFill="accent5" w:themeFillTint="33"/>
            <w:vAlign w:val="center"/>
          </w:tcPr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t>Champs d’apprentissage n°4</w:t>
            </w:r>
          </w:p>
          <w:p w:rsidR="00FB314E" w:rsidRPr="00991338" w:rsidRDefault="00FB314E" w:rsidP="00BE222A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Cs/>
                <w:i/>
                <w:iCs/>
                <w:color w:val="000000" w:themeColor="text1"/>
                <w:sz w:val="16"/>
                <w:szCs w:val="22"/>
              </w:rPr>
              <w:t>Adapter ses déplacements à des environnements variés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</w:rPr>
            </w:pPr>
          </w:p>
          <w:p w:rsidR="00FB314E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</w:rPr>
            </w:pPr>
            <w:r w:rsidRPr="00970CCA">
              <w:rPr>
                <w:rFonts w:ascii="Century Gothic" w:hAnsi="Century Gothic"/>
                <w:bCs/>
                <w:color w:val="000000" w:themeColor="text1"/>
              </w:rPr>
              <w:t>JEUX COOPERATIFS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1"/>
                <w:szCs w:val="32"/>
              </w:rPr>
            </w:pPr>
          </w:p>
          <w:p w:rsidR="00FB314E" w:rsidRPr="00991338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Préparation au Cross de l’USEP</w:t>
            </w:r>
          </w:p>
        </w:tc>
        <w:tc>
          <w:tcPr>
            <w:tcW w:w="3106" w:type="dxa"/>
            <w:shd w:val="clear" w:color="auto" w:fill="DAEEF3" w:themeFill="accent5" w:themeFillTint="33"/>
            <w:vAlign w:val="center"/>
          </w:tcPr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t>Champs d’apprentissage n°4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Cs/>
                <w:i/>
                <w:iCs/>
                <w:color w:val="000000" w:themeColor="text1"/>
                <w:sz w:val="16"/>
                <w:szCs w:val="22"/>
              </w:rPr>
              <w:t>Adapter ses déplacements à des environnements variés</w:t>
            </w:r>
          </w:p>
          <w:p w:rsidR="00FB314E" w:rsidRPr="005913B2" w:rsidRDefault="00FB314E" w:rsidP="00BE222A">
            <w:pP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</w:rPr>
            </w:pPr>
          </w:p>
          <w:p w:rsidR="00FB314E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</w:rPr>
            </w:pPr>
            <w:r w:rsidRPr="00970CCA">
              <w:rPr>
                <w:rFonts w:ascii="Century Gothic" w:hAnsi="Century Gothic"/>
                <w:bCs/>
                <w:color w:val="000000" w:themeColor="text1"/>
              </w:rPr>
              <w:t>JEUX TRADITIONNELS COLLECTIFS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1"/>
                <w:szCs w:val="32"/>
              </w:rPr>
            </w:pP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Balle au prisonnier, Horloge, etc.</w:t>
            </w:r>
          </w:p>
          <w:p w:rsidR="00FB314E" w:rsidRPr="00991338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</w:rPr>
            </w:pPr>
          </w:p>
        </w:tc>
        <w:tc>
          <w:tcPr>
            <w:tcW w:w="3073" w:type="dxa"/>
            <w:shd w:val="clear" w:color="auto" w:fill="E5DFEC" w:themeFill="accent4" w:themeFillTint="33"/>
            <w:vAlign w:val="center"/>
          </w:tcPr>
          <w:p w:rsidR="00FB314E" w:rsidRPr="005913B2" w:rsidRDefault="00FB314E" w:rsidP="00BE222A">
            <w:pPr>
              <w:jc w:val="center"/>
              <w:rPr>
                <w:rFonts w:ascii="Century Gothic" w:hAnsi="Century Gothic"/>
                <w:i/>
                <w:iCs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t>Champs d’apprentissage n°3</w:t>
            </w:r>
            <w:r w:rsidRPr="005913B2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br/>
            </w:r>
            <w:r w:rsidRPr="005913B2">
              <w:rPr>
                <w:rFonts w:ascii="Century Gothic" w:hAnsi="Century Gothic"/>
                <w:i/>
                <w:iCs/>
                <w:color w:val="000000" w:themeColor="text1"/>
                <w:sz w:val="16"/>
                <w:szCs w:val="22"/>
              </w:rPr>
              <w:t>Adapter ses déplacements à des environnements variés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color w:val="000000" w:themeColor="text1"/>
                <w:sz w:val="16"/>
                <w:szCs w:val="22"/>
              </w:rPr>
            </w:pPr>
          </w:p>
          <w:p w:rsidR="00FB314E" w:rsidRDefault="00FB314E" w:rsidP="00BE222A">
            <w:pPr>
              <w:jc w:val="center"/>
              <w:rPr>
                <w:rFonts w:ascii="Century Gothic" w:hAnsi="Century Gothic"/>
                <w:color w:val="000000" w:themeColor="text1"/>
              </w:rPr>
            </w:pPr>
            <w:r w:rsidRPr="00970CCA">
              <w:rPr>
                <w:rFonts w:ascii="Century Gothic" w:hAnsi="Century Gothic"/>
                <w:color w:val="000000" w:themeColor="text1"/>
              </w:rPr>
              <w:t>DANSE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1"/>
                <w:szCs w:val="32"/>
              </w:rPr>
            </w:pPr>
          </w:p>
          <w:p w:rsidR="00FB314E" w:rsidRPr="00544B5F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 xml:space="preserve">Découverte </w:t>
            </w:r>
          </w:p>
        </w:tc>
        <w:tc>
          <w:tcPr>
            <w:tcW w:w="3154" w:type="dxa"/>
            <w:shd w:val="clear" w:color="auto" w:fill="E5DFEC" w:themeFill="accent4" w:themeFillTint="33"/>
            <w:vAlign w:val="center"/>
          </w:tcPr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t>Champs d’apprentissage n°3</w:t>
            </w:r>
            <w:r w:rsidRPr="005913B2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br/>
            </w:r>
            <w:r w:rsidRPr="005913B2">
              <w:rPr>
                <w:rFonts w:ascii="Century Gothic" w:hAnsi="Century Gothic"/>
                <w:i/>
                <w:iCs/>
                <w:color w:val="000000" w:themeColor="text1"/>
                <w:sz w:val="16"/>
                <w:szCs w:val="22"/>
              </w:rPr>
              <w:t>Adapter ses déplacements à des environnements variés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FB314E" w:rsidRDefault="00FB314E" w:rsidP="00BE222A">
            <w:pPr>
              <w:jc w:val="center"/>
              <w:rPr>
                <w:rFonts w:ascii="Century Gothic" w:hAnsi="Century Gothic"/>
                <w:color w:val="000000" w:themeColor="text1"/>
              </w:rPr>
            </w:pPr>
            <w:r w:rsidRPr="00970CCA">
              <w:rPr>
                <w:rFonts w:ascii="Century Gothic" w:hAnsi="Century Gothic"/>
                <w:color w:val="000000" w:themeColor="text1"/>
              </w:rPr>
              <w:t>DANSE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1"/>
                <w:szCs w:val="32"/>
              </w:rPr>
            </w:pPr>
          </w:p>
          <w:p w:rsidR="00FB314E" w:rsidRPr="00991338" w:rsidRDefault="00FB314E" w:rsidP="00BE222A">
            <w:pPr>
              <w:jc w:val="center"/>
              <w:rPr>
                <w:rFonts w:ascii="Century Gothic" w:hAnsi="Century Gothic"/>
                <w:color w:val="000000" w:themeColor="text1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 xml:space="preserve">Création d’une danse </w:t>
            </w:r>
          </w:p>
        </w:tc>
        <w:tc>
          <w:tcPr>
            <w:tcW w:w="3088" w:type="dxa"/>
            <w:shd w:val="clear" w:color="auto" w:fill="DAEEF3" w:themeFill="accent5" w:themeFillTint="33"/>
            <w:vAlign w:val="center"/>
          </w:tcPr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/>
                <w:color w:val="000000" w:themeColor="text1"/>
                <w:sz w:val="16"/>
                <w:szCs w:val="22"/>
              </w:rPr>
              <w:t>Champs d’apprentissage n°4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16"/>
                <w:szCs w:val="22"/>
              </w:rPr>
            </w:pPr>
            <w:r w:rsidRPr="005913B2">
              <w:rPr>
                <w:rFonts w:ascii="Century Gothic" w:hAnsi="Century Gothic"/>
                <w:bCs/>
                <w:i/>
                <w:iCs/>
                <w:color w:val="000000" w:themeColor="text1"/>
                <w:sz w:val="16"/>
                <w:szCs w:val="22"/>
              </w:rPr>
              <w:t>Adapter ses déplacements à des environnements variés</w:t>
            </w:r>
          </w:p>
          <w:p w:rsidR="00FB314E" w:rsidRPr="005913B2" w:rsidRDefault="00FB314E" w:rsidP="00BE222A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000000" w:themeColor="text1"/>
                <w:sz w:val="20"/>
              </w:rPr>
            </w:pPr>
          </w:p>
          <w:p w:rsidR="00FB314E" w:rsidRPr="00970CCA" w:rsidRDefault="00FB314E" w:rsidP="00BE222A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000000" w:themeColor="text1"/>
              </w:rPr>
            </w:pPr>
            <w:r w:rsidRPr="00970CCA">
              <w:rPr>
                <w:rFonts w:ascii="Century Gothic" w:hAnsi="Century Gothic"/>
                <w:color w:val="000000" w:themeColor="text1"/>
              </w:rPr>
              <w:t>JEUX CO</w:t>
            </w:r>
            <w:r>
              <w:rPr>
                <w:rFonts w:ascii="Century Gothic" w:hAnsi="Century Gothic"/>
                <w:color w:val="000000" w:themeColor="text1"/>
              </w:rPr>
              <w:t>LLECTIFS AVEC BALLONS</w:t>
            </w: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1"/>
                <w:szCs w:val="32"/>
              </w:rPr>
            </w:pPr>
          </w:p>
          <w:p w:rsidR="00FB314E" w:rsidRPr="005913B2" w:rsidRDefault="00FB314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Vers le Basket-Ball</w:t>
            </w:r>
          </w:p>
          <w:p w:rsidR="00FB314E" w:rsidRPr="005913B2" w:rsidRDefault="00FB314E" w:rsidP="00BE222A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000000" w:themeColor="text1"/>
                <w:sz w:val="20"/>
              </w:rPr>
            </w:pPr>
          </w:p>
        </w:tc>
      </w:tr>
    </w:tbl>
    <w:p w:rsidR="00FB314E" w:rsidRDefault="00FB314E" w:rsidP="00FB314E">
      <w:pPr>
        <w:ind w:left="-1276" w:firstLine="1276"/>
      </w:pPr>
    </w:p>
    <w:sectPr w:rsidR="00FB314E" w:rsidSect="00FB314E">
      <w:pgSz w:w="16838" w:h="11906" w:orient="landscape"/>
      <w:pgMar w:top="1417" w:right="1417" w:bottom="1417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14E"/>
    <w:rsid w:val="00BE222A"/>
    <w:rsid w:val="00FB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FB95C"/>
  <w15:chartTrackingRefBased/>
  <w15:docId w15:val="{70F3F5A5-943A-5F4B-85F9-BD31B2AF5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1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B31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udetableau">
    <w:name w:val="Contenu de tableau"/>
    <w:basedOn w:val="Normal"/>
    <w:rsid w:val="00FB314E"/>
    <w:pPr>
      <w:widowControl w:val="0"/>
      <w:suppressLineNumbers/>
      <w:suppressAutoHyphens/>
    </w:pPr>
    <w:rPr>
      <w:rFonts w:ascii="Times New Roman" w:eastAsia="Lucida Sans Unicode" w:hAnsi="Times New Roman" w:cs="Arial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224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2</cp:revision>
  <cp:lastPrinted>2022-11-11T17:31:00Z</cp:lastPrinted>
  <dcterms:created xsi:type="dcterms:W3CDTF">2022-11-11T17:29:00Z</dcterms:created>
  <dcterms:modified xsi:type="dcterms:W3CDTF">2022-11-11T17:33:00Z</dcterms:modified>
</cp:coreProperties>
</file>