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ackground w:color="FFFFFF"/>
  <w:body>
    <w:tbl>
      <w:tblPr>
        <w:tblStyle w:val="TableNormal"/>
        <w:tblW w:w="14567" w:type="dxa"/>
        <w:tblInd w:w="108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3233"/>
        <w:gridCol w:w="3685"/>
        <w:gridCol w:w="4007"/>
        <w:gridCol w:w="3642"/>
      </w:tblGrid>
      <w:tr w:rsidR="00DE162A" w14:paraId="7329E7C3" w14:textId="77777777" w:rsidTr="00224852">
        <w:trPr>
          <w:trHeight w:val="295"/>
        </w:trPr>
        <w:tc>
          <w:tcPr>
            <w:tcW w:w="323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45E0EE6" w14:textId="77777777" w:rsidR="00DE162A" w:rsidRDefault="00DE162A"/>
        </w:tc>
        <w:tc>
          <w:tcPr>
            <w:tcW w:w="36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76E6719" w14:textId="77777777" w:rsidR="00DE162A" w:rsidRDefault="00E92632">
            <w:pPr>
              <w:pStyle w:val="Styledetableau2"/>
            </w:pPr>
            <w:r>
              <w:t>CP</w:t>
            </w:r>
          </w:p>
        </w:tc>
        <w:tc>
          <w:tcPr>
            <w:tcW w:w="40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175DFE2" w14:textId="77777777" w:rsidR="00DE162A" w:rsidRDefault="00E92632">
            <w:pPr>
              <w:pStyle w:val="Styledetableau2"/>
            </w:pPr>
            <w:r>
              <w:t>CE1</w:t>
            </w:r>
          </w:p>
        </w:tc>
        <w:tc>
          <w:tcPr>
            <w:tcW w:w="364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21AA49D" w14:textId="77777777" w:rsidR="00DE162A" w:rsidRDefault="00E92632">
            <w:pPr>
              <w:pStyle w:val="Styledetableau2"/>
            </w:pPr>
            <w:r>
              <w:t>CE2</w:t>
            </w:r>
          </w:p>
        </w:tc>
      </w:tr>
      <w:tr w:rsidR="00DE162A" w:rsidRPr="00224852" w14:paraId="116B40F7" w14:textId="77777777" w:rsidTr="00224852">
        <w:trPr>
          <w:trHeight w:val="1919"/>
        </w:trPr>
        <w:tc>
          <w:tcPr>
            <w:tcW w:w="323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9AD092F" w14:textId="77777777" w:rsidR="00DE162A" w:rsidRDefault="00E92632">
            <w:pPr>
              <w:pStyle w:val="Styledetableau2"/>
            </w:pPr>
            <w:r>
              <w:t>La sensibilité et les autres</w:t>
            </w:r>
          </w:p>
        </w:tc>
        <w:tc>
          <w:tcPr>
            <w:tcW w:w="36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E460A24" w14:textId="77777777" w:rsidR="00DE162A" w:rsidRDefault="00461198">
            <w:pPr>
              <w:pStyle w:val="Styledetableau2"/>
            </w:pPr>
            <w:r>
              <w:rPr>
                <w:rFonts w:hint="eastAsia"/>
              </w:rPr>
              <w:t>E</w:t>
            </w:r>
            <w:r w:rsidR="00E92632">
              <w:t>motions: primaires</w:t>
            </w:r>
          </w:p>
          <w:p w14:paraId="0FFFFE84" w14:textId="77777777" w:rsidR="00DE162A" w:rsidRDefault="00DE162A">
            <w:pPr>
              <w:pStyle w:val="Styledetableau2"/>
            </w:pPr>
          </w:p>
          <w:p w14:paraId="6AD3D61B" w14:textId="77777777" w:rsidR="00DE162A" w:rsidRDefault="00DE162A">
            <w:pPr>
              <w:pStyle w:val="Styledetableau2"/>
            </w:pPr>
          </w:p>
          <w:p w14:paraId="5BC9C6F0" w14:textId="77777777" w:rsidR="00DE162A" w:rsidRDefault="00461198">
            <w:pPr>
              <w:pStyle w:val="Styledetableau2"/>
            </w:pPr>
            <w:r>
              <w:rPr>
                <w:rFonts w:hint="eastAsia"/>
              </w:rPr>
              <w:t xml:space="preserve">Messages </w:t>
            </w:r>
            <w:r w:rsidR="00E92632">
              <w:t>clairs</w:t>
            </w:r>
          </w:p>
          <w:p w14:paraId="66E1CC36" w14:textId="77777777" w:rsidR="00DE162A" w:rsidRDefault="00461198">
            <w:pPr>
              <w:pStyle w:val="Styledetableau2"/>
            </w:pPr>
            <w:r>
              <w:rPr>
                <w:rFonts w:hint="eastAsia"/>
              </w:rPr>
              <w:t xml:space="preserve">Projet </w:t>
            </w:r>
            <w:r w:rsidR="00E92632">
              <w:t>JDD</w:t>
            </w:r>
          </w:p>
        </w:tc>
        <w:tc>
          <w:tcPr>
            <w:tcW w:w="40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F642A73" w14:textId="77777777" w:rsidR="00DE162A" w:rsidRDefault="00461198">
            <w:pPr>
              <w:pStyle w:val="Styledetableau2"/>
            </w:pPr>
            <w:r>
              <w:rPr>
                <w:rFonts w:hint="eastAsia"/>
              </w:rPr>
              <w:t>E</w:t>
            </w:r>
            <w:r w:rsidR="00E92632">
              <w:t>motions et sentiments: connaissance du vocabulaire</w:t>
            </w:r>
          </w:p>
          <w:p w14:paraId="40BD8120" w14:textId="77777777" w:rsidR="00DE162A" w:rsidRDefault="00DE162A">
            <w:pPr>
              <w:pStyle w:val="Styledetableau2"/>
            </w:pPr>
          </w:p>
          <w:p w14:paraId="410F9280" w14:textId="77777777" w:rsidR="00DE162A" w:rsidRDefault="00461198">
            <w:pPr>
              <w:pStyle w:val="Styledetableau2"/>
            </w:pPr>
            <w:r>
              <w:rPr>
                <w:rFonts w:hint="eastAsia"/>
              </w:rPr>
              <w:t xml:space="preserve">Messages </w:t>
            </w:r>
            <w:r w:rsidR="00E92632">
              <w:t>clairs</w:t>
            </w:r>
          </w:p>
          <w:p w14:paraId="0D74053B" w14:textId="77777777" w:rsidR="00DE162A" w:rsidRDefault="00DE162A">
            <w:pPr>
              <w:pStyle w:val="Styledetableau2"/>
            </w:pPr>
          </w:p>
          <w:p w14:paraId="36F95BE9" w14:textId="77777777" w:rsidR="00DE162A" w:rsidRDefault="00461198">
            <w:pPr>
              <w:pStyle w:val="Styledetableau2"/>
            </w:pPr>
            <w:r>
              <w:rPr>
                <w:rFonts w:hint="eastAsia"/>
              </w:rPr>
              <w:t xml:space="preserve">Respecter </w:t>
            </w:r>
            <w:r w:rsidR="00E92632">
              <w:t>les différences</w:t>
            </w:r>
          </w:p>
          <w:p w14:paraId="1747CB52" w14:textId="77777777" w:rsidR="00DE162A" w:rsidRDefault="00461198">
            <w:pPr>
              <w:pStyle w:val="Styledetableau2"/>
            </w:pPr>
            <w:r>
              <w:rPr>
                <w:rFonts w:hint="eastAsia"/>
              </w:rPr>
              <w:t xml:space="preserve">Reconnaitre </w:t>
            </w:r>
            <w:r w:rsidR="00E92632">
              <w:t>les symboles de la République</w:t>
            </w:r>
            <w:r>
              <w:t xml:space="preserve">: </w:t>
            </w:r>
            <w:r w:rsidR="00E92632">
              <w:t xml:space="preserve">le drapeau et les valeurs </w:t>
            </w:r>
          </w:p>
        </w:tc>
        <w:tc>
          <w:tcPr>
            <w:tcW w:w="364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84FBBD1" w14:textId="77777777" w:rsidR="00DE162A" w:rsidRDefault="00461198">
            <w:pPr>
              <w:pStyle w:val="Styledetableau2"/>
            </w:pPr>
            <w:r>
              <w:rPr>
                <w:rFonts w:hint="eastAsia"/>
              </w:rPr>
              <w:t xml:space="preserve">Expression </w:t>
            </w:r>
            <w:r w:rsidR="00E92632">
              <w:t>des émotions</w:t>
            </w:r>
          </w:p>
          <w:p w14:paraId="65E50F26" w14:textId="77777777" w:rsidR="00DE162A" w:rsidRDefault="00DE162A">
            <w:pPr>
              <w:pStyle w:val="Styledetableau2"/>
            </w:pPr>
          </w:p>
          <w:p w14:paraId="1F8316EC" w14:textId="77777777" w:rsidR="00DE162A" w:rsidRDefault="00DE162A">
            <w:pPr>
              <w:pStyle w:val="Styledetableau2"/>
            </w:pPr>
          </w:p>
          <w:p w14:paraId="031327B7" w14:textId="77777777" w:rsidR="00DE162A" w:rsidRDefault="00461198">
            <w:pPr>
              <w:pStyle w:val="Styledetableau2"/>
            </w:pPr>
            <w:r>
              <w:t>M</w:t>
            </w:r>
            <w:r w:rsidR="00E92632">
              <w:t>essages clairs</w:t>
            </w:r>
          </w:p>
          <w:p w14:paraId="10E75201" w14:textId="77777777" w:rsidR="00DE162A" w:rsidRDefault="00DE162A">
            <w:pPr>
              <w:pStyle w:val="Styledetableau2"/>
            </w:pPr>
          </w:p>
          <w:p w14:paraId="15419E86" w14:textId="77777777" w:rsidR="00DE162A" w:rsidRDefault="00461198">
            <w:pPr>
              <w:pStyle w:val="Styledetableau2"/>
            </w:pPr>
            <w:r>
              <w:t>C</w:t>
            </w:r>
            <w:r w:rsidR="00E92632">
              <w:t>onnaitre les valeurs et reconnaitre les symboles de la République Française</w:t>
            </w:r>
          </w:p>
        </w:tc>
      </w:tr>
      <w:tr w:rsidR="00DE162A" w:rsidRPr="00224852" w14:paraId="0E23BE68" w14:textId="77777777" w:rsidTr="00224852">
        <w:trPr>
          <w:trHeight w:val="1919"/>
        </w:trPr>
        <w:tc>
          <w:tcPr>
            <w:tcW w:w="323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AA805BE" w14:textId="77777777" w:rsidR="00DE162A" w:rsidRDefault="00461198">
            <w:pPr>
              <w:pStyle w:val="Styledetableau2"/>
            </w:pPr>
            <w:r>
              <w:rPr>
                <w:rFonts w:hint="eastAsia"/>
              </w:rPr>
              <w:t xml:space="preserve">Le droit et la </w:t>
            </w:r>
            <w:proofErr w:type="gramStart"/>
            <w:r>
              <w:rPr>
                <w:rFonts w:hint="eastAsia"/>
              </w:rPr>
              <w:t>r</w:t>
            </w:r>
            <w:r w:rsidR="00E92632">
              <w:t>ègle:</w:t>
            </w:r>
            <w:proofErr w:type="gramEnd"/>
            <w:r w:rsidR="00E92632">
              <w:t xml:space="preserve"> les principes pour vivre avec les autres</w:t>
            </w:r>
          </w:p>
        </w:tc>
        <w:tc>
          <w:tcPr>
            <w:tcW w:w="36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AF124D5" w14:textId="77777777" w:rsidR="00DE162A" w:rsidRDefault="00461198">
            <w:pPr>
              <w:pStyle w:val="Styledetableau2"/>
            </w:pPr>
            <w:r>
              <w:rPr>
                <w:rFonts w:hint="eastAsia"/>
              </w:rPr>
              <w:t>R</w:t>
            </w:r>
            <w:r w:rsidR="00E92632">
              <w:t>ègles de vie de la classe et de l’é</w:t>
            </w:r>
            <w:r>
              <w:rPr>
                <w:lang w:val="es-ES_tradnl"/>
              </w:rPr>
              <w:t>cole</w:t>
            </w:r>
          </w:p>
          <w:p w14:paraId="101F0547" w14:textId="77777777" w:rsidR="00DE162A" w:rsidRDefault="00DE162A">
            <w:pPr>
              <w:pStyle w:val="Styledetableau2"/>
            </w:pPr>
          </w:p>
          <w:p w14:paraId="111A3F0D" w14:textId="77777777" w:rsidR="00DE162A" w:rsidRDefault="00DE162A">
            <w:pPr>
              <w:pStyle w:val="Styledetableau2"/>
            </w:pPr>
          </w:p>
          <w:p w14:paraId="36F1896D" w14:textId="77777777" w:rsidR="00DE162A" w:rsidRDefault="00DE162A">
            <w:pPr>
              <w:pStyle w:val="Styledetableau2"/>
            </w:pPr>
          </w:p>
          <w:p w14:paraId="6B31DACF" w14:textId="77777777" w:rsidR="00DE162A" w:rsidRDefault="00461198">
            <w:pPr>
              <w:pStyle w:val="Styledetableau2"/>
              <w:rPr>
                <w:color w:val="EF5EA7"/>
              </w:rPr>
            </w:pPr>
            <w:r>
              <w:rPr>
                <w:rFonts w:hint="eastAsia"/>
                <w:color w:val="EF5EA7"/>
              </w:rPr>
              <w:t>Initiation aper (permis piéton?):</w:t>
            </w:r>
          </w:p>
          <w:p w14:paraId="72A42A96" w14:textId="77777777" w:rsidR="00DE162A" w:rsidRDefault="00461198">
            <w:pPr>
              <w:pStyle w:val="Styledetableau2"/>
            </w:pPr>
            <w:r>
              <w:rPr>
                <w:rFonts w:hint="eastAsia"/>
                <w:color w:val="EF5EA7"/>
              </w:rPr>
              <w:t>Déplacement piéton</w:t>
            </w:r>
          </w:p>
        </w:tc>
        <w:tc>
          <w:tcPr>
            <w:tcW w:w="40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F02B235" w14:textId="77777777" w:rsidR="00DE162A" w:rsidRDefault="00461198">
            <w:pPr>
              <w:pStyle w:val="Styledetableau2"/>
            </w:pPr>
            <w:r>
              <w:rPr>
                <w:rFonts w:hint="eastAsia"/>
              </w:rPr>
              <w:t>R</w:t>
            </w:r>
            <w:r w:rsidR="00E92632">
              <w:t>ègles de vie de la classe et de l’é</w:t>
            </w:r>
            <w:r>
              <w:rPr>
                <w:lang w:val="es-ES_tradnl"/>
              </w:rPr>
              <w:t>cole</w:t>
            </w:r>
          </w:p>
          <w:p w14:paraId="457B5C84" w14:textId="77777777" w:rsidR="00DE162A" w:rsidRDefault="00DE162A">
            <w:pPr>
              <w:pStyle w:val="Styledetableau2"/>
            </w:pPr>
          </w:p>
          <w:p w14:paraId="289915D0" w14:textId="77777777" w:rsidR="00DE162A" w:rsidRDefault="00461198">
            <w:pPr>
              <w:pStyle w:val="Styledetableau2"/>
            </w:pPr>
            <w:r>
              <w:rPr>
                <w:rFonts w:hint="eastAsia"/>
              </w:rPr>
              <w:t>Les droits et les devoirs de l</w:t>
            </w:r>
            <w:r w:rsidR="00E92632">
              <w:t>’enfant et de l’élève</w:t>
            </w:r>
          </w:p>
          <w:p w14:paraId="13E68895" w14:textId="77777777" w:rsidR="00DE162A" w:rsidRDefault="00DE162A">
            <w:pPr>
              <w:pStyle w:val="Styledetableau2"/>
            </w:pPr>
          </w:p>
          <w:p w14:paraId="0E128291" w14:textId="77777777" w:rsidR="00DE162A" w:rsidRDefault="00461198">
            <w:pPr>
              <w:pStyle w:val="Styledetableau2"/>
              <w:rPr>
                <w:color w:val="EF5EA7"/>
              </w:rPr>
            </w:pPr>
            <w:r>
              <w:rPr>
                <w:rFonts w:hint="eastAsia"/>
                <w:color w:val="EF5EA7"/>
              </w:rPr>
              <w:t xml:space="preserve">Initiation </w:t>
            </w:r>
            <w:r>
              <w:rPr>
                <w:color w:val="EF5EA7"/>
              </w:rPr>
              <w:t>APER</w:t>
            </w:r>
            <w:r>
              <w:rPr>
                <w:rFonts w:hint="eastAsia"/>
                <w:color w:val="EF5EA7"/>
              </w:rPr>
              <w:t xml:space="preserve"> (permis piéton?)</w:t>
            </w:r>
          </w:p>
          <w:p w14:paraId="77279E42" w14:textId="77777777" w:rsidR="00DE162A" w:rsidRDefault="00461198">
            <w:pPr>
              <w:pStyle w:val="Styledetableau2"/>
            </w:pPr>
            <w:r>
              <w:rPr>
                <w:rFonts w:hint="eastAsia"/>
                <w:color w:val="EF5EA7"/>
              </w:rPr>
              <w:t>Connaissance des panneaux</w:t>
            </w:r>
          </w:p>
        </w:tc>
        <w:tc>
          <w:tcPr>
            <w:tcW w:w="364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5EF42E9" w14:textId="77777777" w:rsidR="00DE162A" w:rsidRDefault="00461198">
            <w:pPr>
              <w:pStyle w:val="Styledetableau2"/>
            </w:pPr>
            <w:r>
              <w:rPr>
                <w:rFonts w:hint="eastAsia"/>
              </w:rPr>
              <w:t>R</w:t>
            </w:r>
            <w:r w:rsidR="00E92632">
              <w:t>ègles de vie de la classe et de l’é</w:t>
            </w:r>
            <w:r>
              <w:rPr>
                <w:lang w:val="es-ES_tradnl"/>
              </w:rPr>
              <w:t>cole</w:t>
            </w:r>
          </w:p>
          <w:p w14:paraId="06E6C515" w14:textId="77777777" w:rsidR="00DE162A" w:rsidRDefault="00DE162A">
            <w:pPr>
              <w:pStyle w:val="Styledetableau2"/>
            </w:pPr>
          </w:p>
          <w:p w14:paraId="5E236156" w14:textId="77777777" w:rsidR="00DE162A" w:rsidRDefault="00461198">
            <w:pPr>
              <w:pStyle w:val="Styledetableau2"/>
            </w:pPr>
            <w:r>
              <w:rPr>
                <w:rFonts w:hint="eastAsia"/>
              </w:rPr>
              <w:t>La déclaration des droits de l</w:t>
            </w:r>
            <w:r>
              <w:rPr>
                <w:rFonts w:hint="eastAsia"/>
              </w:rPr>
              <w:t>’</w:t>
            </w:r>
            <w:r>
              <w:rPr>
                <w:rFonts w:hint="eastAsia"/>
              </w:rPr>
              <w:t>homme et du citoyen (1789)</w:t>
            </w:r>
          </w:p>
          <w:p w14:paraId="0E5A0E9D" w14:textId="77777777" w:rsidR="00DE162A" w:rsidRDefault="00461198">
            <w:pPr>
              <w:pStyle w:val="Styledetableau2"/>
              <w:rPr>
                <w:color w:val="EF5EA7"/>
              </w:rPr>
            </w:pPr>
            <w:r>
              <w:rPr>
                <w:rFonts w:hint="eastAsia"/>
                <w:color w:val="EF5EA7"/>
              </w:rPr>
              <w:t xml:space="preserve">Initiation </w:t>
            </w:r>
            <w:r>
              <w:rPr>
                <w:color w:val="EF5EA7"/>
              </w:rPr>
              <w:t>APER</w:t>
            </w:r>
            <w:r>
              <w:rPr>
                <w:rFonts w:hint="eastAsia"/>
                <w:color w:val="EF5EA7"/>
              </w:rPr>
              <w:t xml:space="preserve"> (permis piéton?)</w:t>
            </w:r>
          </w:p>
          <w:p w14:paraId="2FEF65DE" w14:textId="77777777" w:rsidR="00DE162A" w:rsidRDefault="00461198">
            <w:pPr>
              <w:pStyle w:val="Styledetableau2"/>
            </w:pPr>
            <w:r>
              <w:rPr>
                <w:rFonts w:hint="eastAsia"/>
                <w:color w:val="EF5EA7"/>
              </w:rPr>
              <w:t>Application</w:t>
            </w:r>
          </w:p>
        </w:tc>
      </w:tr>
      <w:tr w:rsidR="00DE162A" w:rsidRPr="00224852" w14:paraId="2D67208D" w14:textId="77777777" w:rsidTr="00224852">
        <w:trPr>
          <w:trHeight w:val="2159"/>
        </w:trPr>
        <w:tc>
          <w:tcPr>
            <w:tcW w:w="323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C4C5D92" w14:textId="77777777" w:rsidR="00DE162A" w:rsidRDefault="00461198">
            <w:pPr>
              <w:pStyle w:val="Styledetableau2"/>
            </w:pPr>
            <w:r>
              <w:rPr>
                <w:rFonts w:hint="eastAsia"/>
              </w:rPr>
              <w:t xml:space="preserve">Le </w:t>
            </w:r>
            <w:proofErr w:type="gramStart"/>
            <w:r>
              <w:rPr>
                <w:rFonts w:hint="eastAsia"/>
              </w:rPr>
              <w:t>jugement:</w:t>
            </w:r>
            <w:proofErr w:type="gramEnd"/>
            <w:r>
              <w:rPr>
                <w:rFonts w:hint="eastAsia"/>
              </w:rPr>
              <w:t xml:space="preserve"> penser par soi-m</w:t>
            </w:r>
            <w:r w:rsidR="00E92632">
              <w:t>ême et avec les autres</w:t>
            </w:r>
          </w:p>
        </w:tc>
        <w:tc>
          <w:tcPr>
            <w:tcW w:w="36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8AE6FF2" w14:textId="77777777" w:rsidR="00DE162A" w:rsidRDefault="00461198">
            <w:pPr>
              <w:pStyle w:val="Styledetableau2"/>
            </w:pPr>
            <w:r>
              <w:rPr>
                <w:rFonts w:hint="eastAsia"/>
              </w:rPr>
              <w:t>Exprimer ses choix et les justifier</w:t>
            </w:r>
          </w:p>
          <w:p w14:paraId="070982D1" w14:textId="77777777" w:rsidR="00DE162A" w:rsidRDefault="00DE162A">
            <w:pPr>
              <w:pStyle w:val="Styledetableau2"/>
            </w:pPr>
          </w:p>
          <w:p w14:paraId="12EC2E9F" w14:textId="77777777" w:rsidR="00DE162A" w:rsidRDefault="00DE162A">
            <w:pPr>
              <w:pStyle w:val="Styledetableau2"/>
            </w:pPr>
          </w:p>
          <w:p w14:paraId="09C54110" w14:textId="77777777" w:rsidR="00DE162A" w:rsidRDefault="00DE162A">
            <w:pPr>
              <w:pStyle w:val="Styledetableau2"/>
            </w:pPr>
          </w:p>
          <w:p w14:paraId="6F5DB83C" w14:textId="77777777" w:rsidR="00DE162A" w:rsidRDefault="00461198">
            <w:pPr>
              <w:pStyle w:val="Styledetableau2"/>
            </w:pPr>
            <w:r>
              <w:rPr>
                <w:rFonts w:hint="eastAsia"/>
              </w:rPr>
              <w:t>R</w:t>
            </w:r>
            <w:r w:rsidR="00E92632">
              <w:t>ègles de la discussion en groupe</w:t>
            </w:r>
          </w:p>
          <w:p w14:paraId="7971C330" w14:textId="77777777" w:rsidR="00DE162A" w:rsidRDefault="00461198">
            <w:pPr>
              <w:pStyle w:val="Styledetableau2"/>
            </w:pPr>
            <w:r>
              <w:rPr>
                <w:rFonts w:hint="eastAsia"/>
              </w:rPr>
              <w:t>Initiation aux d</w:t>
            </w:r>
            <w:r w:rsidR="00E92632">
              <w:t>ébats</w:t>
            </w:r>
          </w:p>
        </w:tc>
        <w:tc>
          <w:tcPr>
            <w:tcW w:w="40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C5A1023" w14:textId="77777777" w:rsidR="00DE162A" w:rsidRDefault="00461198">
            <w:pPr>
              <w:pStyle w:val="Styledetableau2"/>
            </w:pPr>
            <w:r>
              <w:rPr>
                <w:rFonts w:hint="eastAsia"/>
              </w:rPr>
              <w:t>Exprimer ses choix et les justifier</w:t>
            </w:r>
          </w:p>
          <w:p w14:paraId="4629C064" w14:textId="77777777" w:rsidR="00DE162A" w:rsidRDefault="00DE162A">
            <w:pPr>
              <w:pStyle w:val="Styledetableau2"/>
            </w:pPr>
          </w:p>
          <w:p w14:paraId="4AC6A693" w14:textId="77777777" w:rsidR="00DE162A" w:rsidRDefault="00DE162A">
            <w:pPr>
              <w:pStyle w:val="Styledetableau2"/>
            </w:pPr>
          </w:p>
          <w:p w14:paraId="41F144F9" w14:textId="77777777" w:rsidR="00DE162A" w:rsidRDefault="00DE162A">
            <w:pPr>
              <w:pStyle w:val="Styledetableau2"/>
            </w:pPr>
          </w:p>
          <w:p w14:paraId="5FEFC9B0" w14:textId="77777777" w:rsidR="00DE162A" w:rsidRDefault="00461198">
            <w:pPr>
              <w:pStyle w:val="Styledetableau2"/>
            </w:pPr>
            <w:r>
              <w:rPr>
                <w:rFonts w:hint="eastAsia"/>
              </w:rPr>
              <w:t>R</w:t>
            </w:r>
            <w:r w:rsidR="00E92632">
              <w:t>ègles de la discussion en groupe</w:t>
            </w:r>
          </w:p>
          <w:p w14:paraId="0D195ED9" w14:textId="77777777" w:rsidR="00DE162A" w:rsidRDefault="00461198">
            <w:pPr>
              <w:pStyle w:val="Styledetableau2"/>
            </w:pPr>
            <w:r>
              <w:rPr>
                <w:rFonts w:hint="eastAsia"/>
              </w:rPr>
              <w:t>Initiation aux d</w:t>
            </w:r>
            <w:r w:rsidR="00E92632">
              <w:t>ébats</w:t>
            </w:r>
          </w:p>
        </w:tc>
        <w:tc>
          <w:tcPr>
            <w:tcW w:w="364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158729E" w14:textId="77777777" w:rsidR="00DE162A" w:rsidRDefault="00461198">
            <w:pPr>
              <w:pStyle w:val="Styledetableau2"/>
            </w:pPr>
            <w:r>
              <w:rPr>
                <w:rFonts w:hint="eastAsia"/>
              </w:rPr>
              <w:t>Exprimer ses choix et les justifier</w:t>
            </w:r>
          </w:p>
          <w:p w14:paraId="5931CB53" w14:textId="77777777" w:rsidR="00DE162A" w:rsidRDefault="00DE162A">
            <w:pPr>
              <w:pStyle w:val="Styledetableau2"/>
            </w:pPr>
          </w:p>
          <w:p w14:paraId="66520445" w14:textId="77777777" w:rsidR="00DE162A" w:rsidRDefault="00461198">
            <w:pPr>
              <w:pStyle w:val="Styledetableau2"/>
            </w:pPr>
            <w:r>
              <w:rPr>
                <w:rFonts w:hint="eastAsia"/>
              </w:rPr>
              <w:t>Introduction des dilemmes moraux</w:t>
            </w:r>
          </w:p>
          <w:p w14:paraId="737AB217" w14:textId="77777777" w:rsidR="00DE162A" w:rsidRDefault="00DE162A">
            <w:pPr>
              <w:pStyle w:val="Styledetableau2"/>
            </w:pPr>
          </w:p>
          <w:p w14:paraId="450F1331" w14:textId="77777777" w:rsidR="00DE162A" w:rsidRDefault="00461198">
            <w:pPr>
              <w:pStyle w:val="Styledetableau2"/>
            </w:pPr>
            <w:r>
              <w:rPr>
                <w:rFonts w:hint="eastAsia"/>
              </w:rPr>
              <w:t>R</w:t>
            </w:r>
            <w:r w:rsidR="00E92632">
              <w:t>ègles de la discussion en groupe</w:t>
            </w:r>
          </w:p>
          <w:p w14:paraId="6E601BEF" w14:textId="77777777" w:rsidR="00DE162A" w:rsidRDefault="00461198">
            <w:pPr>
              <w:pStyle w:val="Styledetableau2"/>
            </w:pPr>
            <w:r>
              <w:rPr>
                <w:rFonts w:hint="eastAsia"/>
              </w:rPr>
              <w:t>Initiation aux d</w:t>
            </w:r>
            <w:r w:rsidR="00E92632">
              <w:t>ébats</w:t>
            </w:r>
          </w:p>
          <w:p w14:paraId="781C978E" w14:textId="77777777" w:rsidR="00DE162A" w:rsidRDefault="00DE162A">
            <w:pPr>
              <w:pStyle w:val="Styledetableau2"/>
            </w:pPr>
          </w:p>
          <w:p w14:paraId="7BEF2CFA" w14:textId="77777777" w:rsidR="00DE162A" w:rsidRDefault="00E92632">
            <w:pPr>
              <w:pStyle w:val="Styledetableau2"/>
            </w:pPr>
            <w:r>
              <w:t>Les préjugés et les stéréotypes</w:t>
            </w:r>
          </w:p>
          <w:p w14:paraId="219D5F8B" w14:textId="77777777" w:rsidR="00DE162A" w:rsidRDefault="00461198">
            <w:pPr>
              <w:pStyle w:val="Styledetableau2"/>
            </w:pPr>
            <w:r>
              <w:rPr>
                <w:rFonts w:hint="eastAsia"/>
              </w:rPr>
              <w:t>Travail autour penser, croire et savoir</w:t>
            </w:r>
          </w:p>
        </w:tc>
      </w:tr>
      <w:tr w:rsidR="00DE162A" w:rsidRPr="00224852" w14:paraId="4D2E48CC" w14:textId="77777777" w:rsidTr="00224852">
        <w:trPr>
          <w:trHeight w:val="719"/>
        </w:trPr>
        <w:tc>
          <w:tcPr>
            <w:tcW w:w="323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8589EE2" w14:textId="77777777" w:rsidR="00DE162A" w:rsidRDefault="00461198">
            <w:pPr>
              <w:pStyle w:val="Styledetableau2"/>
            </w:pPr>
            <w:proofErr w:type="gramStart"/>
            <w:r>
              <w:rPr>
                <w:rFonts w:hint="eastAsia"/>
              </w:rPr>
              <w:t>L</w:t>
            </w:r>
            <w:r w:rsidR="00E92632">
              <w:t>’engagement:</w:t>
            </w:r>
            <w:proofErr w:type="gramEnd"/>
            <w:r w:rsidR="00E92632">
              <w:t xml:space="preserve"> agir individuellement et collectivement</w:t>
            </w:r>
          </w:p>
        </w:tc>
        <w:tc>
          <w:tcPr>
            <w:tcW w:w="36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AD41FE4" w14:textId="77777777" w:rsidR="00DE162A" w:rsidRDefault="00461198">
            <w:pPr>
              <w:pStyle w:val="Styledetableau2"/>
            </w:pPr>
            <w:r>
              <w:rPr>
                <w:rFonts w:hint="eastAsia"/>
              </w:rPr>
              <w:t>Conseil de classe</w:t>
            </w:r>
          </w:p>
          <w:p w14:paraId="26D834DD" w14:textId="77777777" w:rsidR="00DE162A" w:rsidRDefault="00461198">
            <w:pPr>
              <w:pStyle w:val="Styledetableau2"/>
            </w:pPr>
            <w:r>
              <w:rPr>
                <w:rFonts w:hint="eastAsia"/>
              </w:rPr>
              <w:t xml:space="preserve">Apprendre </w:t>
            </w:r>
            <w:r w:rsidR="00E92632">
              <w:t>à porter secours (numéros d’urgence</w:t>
            </w:r>
          </w:p>
        </w:tc>
        <w:tc>
          <w:tcPr>
            <w:tcW w:w="40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F70BD41" w14:textId="77777777" w:rsidR="00DE162A" w:rsidRDefault="00461198">
            <w:pPr>
              <w:pStyle w:val="Styledetableau2"/>
            </w:pPr>
            <w:r>
              <w:rPr>
                <w:rFonts w:hint="eastAsia"/>
              </w:rPr>
              <w:t>Conseil de classe</w:t>
            </w:r>
          </w:p>
          <w:p w14:paraId="33193E95" w14:textId="77777777" w:rsidR="00DE162A" w:rsidRDefault="00461198">
            <w:pPr>
              <w:pStyle w:val="Styledetableau2"/>
            </w:pPr>
            <w:r>
              <w:rPr>
                <w:rFonts w:hint="eastAsia"/>
              </w:rPr>
              <w:t xml:space="preserve">Apprendre </w:t>
            </w:r>
            <w:r w:rsidR="00E92632">
              <w:t xml:space="preserve">à porter secours </w:t>
            </w:r>
          </w:p>
        </w:tc>
        <w:tc>
          <w:tcPr>
            <w:tcW w:w="364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A82970B" w14:textId="77777777" w:rsidR="00DE162A" w:rsidRDefault="00461198">
            <w:pPr>
              <w:pStyle w:val="Styledetableau2"/>
            </w:pPr>
            <w:r>
              <w:rPr>
                <w:rFonts w:hint="eastAsia"/>
              </w:rPr>
              <w:t>Conseil de classe</w:t>
            </w:r>
          </w:p>
          <w:p w14:paraId="2EE974B0" w14:textId="77777777" w:rsidR="00DE162A" w:rsidRDefault="00461198">
            <w:pPr>
              <w:pStyle w:val="Styledetableau2"/>
            </w:pPr>
            <w:r>
              <w:rPr>
                <w:rFonts w:hint="eastAsia"/>
              </w:rPr>
              <w:t xml:space="preserve">Apprendre </w:t>
            </w:r>
            <w:r w:rsidR="00E92632">
              <w:t xml:space="preserve">à porter secours </w:t>
            </w:r>
          </w:p>
        </w:tc>
      </w:tr>
    </w:tbl>
    <w:p w14:paraId="03AB912E" w14:textId="77777777" w:rsidR="00DE162A" w:rsidRDefault="00DE162A">
      <w:pPr>
        <w:pStyle w:val="Corps"/>
      </w:pPr>
    </w:p>
    <w:sectPr w:rsidR="00DE162A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6840" w:h="11900" w:orient="landscape"/>
      <w:pgMar w:top="1134" w:right="1134" w:bottom="1134" w:left="1134" w:header="709" w:footer="85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578BF78" w14:textId="77777777" w:rsidR="00F51278" w:rsidRDefault="00F51278">
      <w:r>
        <w:separator/>
      </w:r>
    </w:p>
  </w:endnote>
  <w:endnote w:type="continuationSeparator" w:id="0">
    <w:p w14:paraId="761121EC" w14:textId="77777777" w:rsidR="00F51278" w:rsidRDefault="00F512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 Neue">
    <w:altName w:val="Times New Roman"/>
    <w:panose1 w:val="02000503000000020004"/>
    <w:charset w:val="00"/>
    <w:family w:val="auto"/>
    <w:pitch w:val="variable"/>
    <w:sig w:usb0="E50002FF" w:usb1="500079DB" w:usb2="0000001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9195A4D" w14:textId="77777777" w:rsidR="00224852" w:rsidRDefault="00224852">
    <w:pPr>
      <w:pStyle w:val="Pieddepag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9382315" w14:textId="77777777" w:rsidR="00DE162A" w:rsidRDefault="00DE162A"/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FCB7116" w14:textId="77777777" w:rsidR="00224852" w:rsidRDefault="00224852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AA52826" w14:textId="77777777" w:rsidR="00F51278" w:rsidRDefault="00F51278">
      <w:r>
        <w:separator/>
      </w:r>
    </w:p>
  </w:footnote>
  <w:footnote w:type="continuationSeparator" w:id="0">
    <w:p w14:paraId="727960F7" w14:textId="77777777" w:rsidR="00F51278" w:rsidRDefault="00F5127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9F69CF2" w14:textId="77777777" w:rsidR="00224852" w:rsidRDefault="00224852">
    <w:pPr>
      <w:pStyle w:val="En-tt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75950A4" w14:textId="77777777" w:rsidR="00DE162A" w:rsidRDefault="00DE162A"/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5C80F6C" w14:textId="77777777" w:rsidR="00224852" w:rsidRDefault="00224852">
    <w:pPr>
      <w:pStyle w:val="En-tt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6"/>
  <w:displayBackgroundShape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DE162A"/>
    <w:rsid w:val="00224852"/>
    <w:rsid w:val="00461198"/>
    <w:rsid w:val="00DE162A"/>
    <w:rsid w:val="00E92632"/>
    <w:rsid w:val="00F512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0820A49"/>
  <w15:docId w15:val="{48DC0725-2D36-3241-9223-F9584451FC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Arial Unicode MS" w:hAnsi="Times New Roman" w:cs="Times New Roman"/>
        <w:bdr w:val="nil"/>
        <w:lang w:val="fr-FR" w:eastAsia="fr-FR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Pr>
      <w:sz w:val="24"/>
      <w:szCs w:val="24"/>
      <w:lang w:val="en-US" w:eastAsia="en-US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ienhypertexte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Corps">
    <w:name w:val="Corps"/>
    <w:rPr>
      <w:rFonts w:ascii="Helvetica Neue" w:hAnsi="Helvetica Neue" w:cs="Arial Unicode MS"/>
      <w:color w:val="000000"/>
      <w:sz w:val="22"/>
      <w:szCs w:val="22"/>
    </w:rPr>
  </w:style>
  <w:style w:type="paragraph" w:customStyle="1" w:styleId="Styledetableau2">
    <w:name w:val="Style de tableau 2"/>
    <w:rPr>
      <w:rFonts w:ascii="Helvetica Neue" w:hAnsi="Helvetica Neue" w:cs="Arial Unicode MS"/>
      <w:color w:val="000000"/>
    </w:rPr>
  </w:style>
  <w:style w:type="paragraph" w:styleId="En-tte">
    <w:name w:val="header"/>
    <w:basedOn w:val="Normal"/>
    <w:link w:val="En-tteCar"/>
    <w:uiPriority w:val="99"/>
    <w:unhideWhenUsed/>
    <w:rsid w:val="00224852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224852"/>
    <w:rPr>
      <w:sz w:val="24"/>
      <w:szCs w:val="24"/>
      <w:lang w:val="en-US" w:eastAsia="en-US"/>
    </w:rPr>
  </w:style>
  <w:style w:type="paragraph" w:styleId="Pieddepage">
    <w:name w:val="footer"/>
    <w:basedOn w:val="Normal"/>
    <w:link w:val="PieddepageCar"/>
    <w:uiPriority w:val="99"/>
    <w:unhideWhenUsed/>
    <w:rsid w:val="00224852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224852"/>
    <w:rPr>
      <w:sz w:val="24"/>
      <w:szCs w:val="24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BlankLandscape">
  <a:themeElements>
    <a:clrScheme name="BlankLandscape">
      <a:dk1>
        <a:srgbClr val="000000"/>
      </a:dk1>
      <a:lt1>
        <a:srgbClr val="FFFFFF"/>
      </a:lt1>
      <a:dk2>
        <a:srgbClr val="5E5E5E"/>
      </a:dk2>
      <a:lt2>
        <a:srgbClr val="D6D5D5"/>
      </a:lt2>
      <a:accent1>
        <a:srgbClr val="00A2FF"/>
      </a:accent1>
      <a:accent2>
        <a:srgbClr val="16E7CF"/>
      </a:accent2>
      <a:accent3>
        <a:srgbClr val="61D836"/>
      </a:accent3>
      <a:accent4>
        <a:srgbClr val="FAE232"/>
      </a:accent4>
      <a:accent5>
        <a:srgbClr val="FF644E"/>
      </a:accent5>
      <a:accent6>
        <a:srgbClr val="EF5FA7"/>
      </a:accent6>
      <a:hlink>
        <a:srgbClr val="0000FF"/>
      </a:hlink>
      <a:folHlink>
        <a:srgbClr val="FF00FF"/>
      </a:folHlink>
    </a:clrScheme>
    <a:fontScheme name="BlankLandscap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Landscap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chemeClr val="accent1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101600" tIns="101600" rIns="101600" bIns="101600" numCol="1" spcCol="38100" rtlCol="0" anchor="ctr">
        <a:spAutoFit/>
      </a:bodyPr>
      <a:lstStyle>
        <a:defPPr marL="0" marR="0" indent="0" algn="ctr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229</Words>
  <Characters>1264</Characters>
  <Application>Microsoft Office Word</Application>
  <DocSecurity>0</DocSecurity>
  <Lines>10</Lines>
  <Paragraphs>2</Paragraphs>
  <ScaleCrop>false</ScaleCrop>
  <Company/>
  <LinksUpToDate>false</LinksUpToDate>
  <CharactersWithSpaces>1491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Maxime Martin</cp:lastModifiedBy>
  <cp:revision>3</cp:revision>
  <dcterms:created xsi:type="dcterms:W3CDTF">2018-10-14T15:34:00Z</dcterms:created>
  <dcterms:modified xsi:type="dcterms:W3CDTF">2020-09-30T22:46:00Z</dcterms:modified>
</cp:coreProperties>
</file>