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reprincipal"/>
        <w:jc w:val="center"/>
        <w:rPr/>
      </w:pPr>
      <w:r>
        <w:rPr>
          <w:color w:val="00A853"/>
        </w:rPr>
        <w:t xml:space="preserve">Progression </w:t>
      </w:r>
      <w:r>
        <w:rPr>
          <w:color w:val="00A853"/>
        </w:rPr>
        <w:t>QLM</w:t>
      </w:r>
      <w:r>
        <w:rPr>
          <w:color w:val="800000"/>
        </w:rPr>
        <w:t xml:space="preserve"> </w:t>
      </w:r>
      <w:r>
        <w:rPr/>
        <w:t xml:space="preserve">— </w:t>
      </w:r>
      <w:r>
        <w:rPr>
          <w:sz w:val="48"/>
        </w:rPr>
        <w:t>Année 20</w:t>
      </w:r>
      <w:r>
        <w:rPr>
          <w:sz w:val="48"/>
        </w:rPr>
        <w:t>19</w:t>
      </w:r>
      <w:r>
        <w:rPr>
          <w:sz w:val="48"/>
        </w:rPr>
        <w:t>/20</w:t>
      </w:r>
      <w:r>
        <w:rPr>
          <w:sz w:val="48"/>
        </w:rPr>
        <w:t>20</w:t>
      </w:r>
      <w:r>
        <w:rPr>
          <w:sz w:val="48"/>
        </w:rPr>
        <w:t xml:space="preserve"> </w:t>
      </w:r>
      <w:r>
        <w:rPr>
          <w:sz w:val="48"/>
        </w:rPr>
        <w:t xml:space="preserve">— </w:t>
      </w:r>
      <w:r>
        <w:rPr/>
        <w:t>Cycle 2</w:t>
      </w:r>
    </w:p>
    <w:p>
      <w:pPr>
        <w:pStyle w:val="Normal"/>
        <w:jc w:val="center"/>
        <w:rPr/>
      </w:pPr>
      <w:r>
        <w:rPr/>
      </w:r>
    </w:p>
    <w:tbl>
      <w:tblPr>
        <w:tblW w:w="14004" w:type="dxa"/>
        <w:jc w:val="left"/>
        <w:tblInd w:w="53" w:type="dxa"/>
        <w:tblBorders>
          <w:top w:val="single" w:sz="2" w:space="0" w:color="000001"/>
          <w:left w:val="single" w:sz="2" w:space="0" w:color="000001"/>
          <w:bottom w:val="single" w:sz="2" w:space="0" w:color="000001"/>
          <w:insideH w:val="single" w:sz="2" w:space="0" w:color="000001"/>
        </w:tblBorders>
        <w:tblCellMar>
          <w:top w:w="55" w:type="dxa"/>
          <w:left w:w="51" w:type="dxa"/>
          <w:bottom w:w="55" w:type="dxa"/>
          <w:right w:w="55" w:type="dxa"/>
        </w:tblCellMar>
      </w:tblPr>
      <w:tblGrid>
        <w:gridCol w:w="3501"/>
        <w:gridCol w:w="3501"/>
        <w:gridCol w:w="3501"/>
        <w:gridCol w:w="3500"/>
      </w:tblGrid>
      <w:tr>
        <w:trPr>
          <w:trHeight w:val="285" w:hRule="atLeast"/>
        </w:trPr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Contenudetableau"/>
              <w:spacing w:lineRule="auto" w:line="240" w:before="0" w:after="0"/>
              <w:jc w:val="center"/>
              <w:rPr>
                <w:color w:val="800000"/>
              </w:rPr>
            </w:pPr>
            <w:r>
              <w:rPr>
                <w:color w:val="800000"/>
              </w:rPr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Contenudetableau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CP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Contenudetableau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CE1</w:t>
            </w:r>
          </w:p>
        </w:tc>
        <w:tc>
          <w:tcPr>
            <w:tcW w:w="3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Contenudetableau"/>
              <w:spacing w:lineRule="auto" w:line="240" w:before="0" w:after="0"/>
              <w:jc w:val="center"/>
              <w:rPr>
                <w:b/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CE2</w:t>
            </w:r>
          </w:p>
        </w:tc>
      </w:tr>
      <w:tr>
        <w:trPr>
          <w:trHeight w:val="3306" w:hRule="atLeast"/>
        </w:trPr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rPr>
                <w:color w:val="00A853"/>
              </w:rPr>
            </w:pPr>
            <w:r>
              <w:rPr>
                <w:b/>
                <w:bCs/>
                <w:color w:val="00A853"/>
              </w:rPr>
              <w:t>Questionner le monde du vivant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>
                <w:b/>
              </w:rPr>
              <w:t>Différences :</w:t>
            </w:r>
            <w:r>
              <w:rPr/>
              <w:t xml:space="preserve"> </w:t>
            </w:r>
            <w:r>
              <w:rPr/>
              <w:t>animaux</w:t>
            </w:r>
            <w:r>
              <w:rPr/>
              <w:t>/végéta</w:t>
            </w:r>
            <w:r>
              <w:rPr/>
              <w:t>ux</w:t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>élaborés par des êtres vivants.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>
                <w:b/>
              </w:rPr>
              <w:t>Développement</w:t>
            </w:r>
            <w:r>
              <w:rPr/>
              <w:t xml:space="preserve"> des animaux et végétaux.</w:t>
              <w:br/>
              <w:t>Quelques besoins des végétaux.</w:t>
              <w:br/>
              <w:t>Régimes alimentaires de quelques animaux.</w:t>
            </w:r>
          </w:p>
        </w:tc>
        <w:tc>
          <w:tcPr>
            <w:tcW w:w="3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Identifier les </w:t>
            </w:r>
            <w:r>
              <w:rPr>
                <w:b/>
              </w:rPr>
              <w:t>interactions</w:t>
            </w:r>
            <w:r>
              <w:rPr/>
              <w:t xml:space="preserve"> des êtres vivants entre eux et avec leur milieu.</w:t>
              <w:br/>
              <w:t xml:space="preserve">Diversité des organismes vivants présents dans un milieu et leur interdépendance. </w:t>
              <w:br/>
              <w:t xml:space="preserve">Relations alimentaires entre les </w:t>
            </w:r>
            <w:r>
              <w:rPr>
                <w:color w:val="auto"/>
              </w:rPr>
              <w:t>organismes</w:t>
            </w:r>
            <w:r>
              <w:rPr/>
              <w:t xml:space="preserve"> vivants.</w:t>
              <w:br/>
              <w:t>Chaînes de prédation.</w:t>
              <w:br/>
              <w:t>Identifier quelques interactions dans l’école.</w:t>
            </w:r>
          </w:p>
        </w:tc>
      </w:tr>
      <w:tr>
        <w:trPr>
          <w:trHeight w:val="1695" w:hRule="atLeast"/>
        </w:trPr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rPr>
                <w:color w:val="00A853"/>
              </w:rPr>
            </w:pPr>
            <w:r>
              <w:rPr>
                <w:b/>
                <w:bCs/>
                <w:color w:val="00A853"/>
              </w:rPr>
              <w:t>Questionner la matière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 xml:space="preserve">Les </w:t>
            </w:r>
            <w:r>
              <w:rPr>
                <w:b/>
              </w:rPr>
              <w:t>3 états de l’eau</w:t>
            </w:r>
            <w:r>
              <w:rPr/>
              <w:t> :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 xml:space="preserve">quelques propriétés </w:t>
              <w:br/>
              <w:t>(expérience d’observation)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 xml:space="preserve">Les </w:t>
            </w:r>
            <w:r>
              <w:rPr>
                <w:b/>
              </w:rPr>
              <w:t>changements d’état</w:t>
              <w:br/>
              <w:t>(élaboration d’hypothèses et expérience).</w:t>
            </w:r>
          </w:p>
        </w:tc>
        <w:tc>
          <w:tcPr>
            <w:tcW w:w="3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 xml:space="preserve">Mise en place d’expériences impliquant l’eau et l’air. </w:t>
              <w:br/>
            </w:r>
            <w:r>
              <w:rPr>
                <w:rFonts w:eastAsia="Wingdings" w:cs="Wingdings" w:ascii="Wingdings" w:hAnsi="Wingdings"/>
              </w:rPr>
              <w:t></w:t>
            </w:r>
            <w:r>
              <w:rPr/>
              <w:t xml:space="preserve"> Relever les </w:t>
            </w:r>
            <w:r>
              <w:rPr>
                <w:b/>
              </w:rPr>
              <w:t>mesures</w:t>
            </w:r>
            <w:r>
              <w:rPr/>
              <w:t xml:space="preserve"> de température. </w:t>
              <w:br/>
              <w:t>(Aborder l’état gazeux)</w:t>
            </w:r>
          </w:p>
        </w:tc>
      </w:tr>
      <w:tr>
        <w:trPr>
          <w:trHeight w:val="2325" w:hRule="atLeast"/>
        </w:trPr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rPr>
                <w:color w:val="00A853"/>
              </w:rPr>
            </w:pPr>
            <w:r>
              <w:rPr>
                <w:b/>
                <w:bCs/>
                <w:color w:val="00A853"/>
              </w:rPr>
              <w:t>Les objets techniques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Observation des objets techniques et identifier leurs </w:t>
            </w:r>
            <w:r>
              <w:rPr>
                <w:b/>
              </w:rPr>
              <w:t>fonctions.</w:t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br/>
            </w:r>
            <w:r>
              <w:rPr>
                <w:b/>
              </w:rPr>
              <w:t>Règles élémentaires de sécurit</w:t>
            </w:r>
            <w:r>
              <w:rPr>
                <w:b/>
              </w:rPr>
              <w:t>é.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Identifier les </w:t>
            </w:r>
            <w:r>
              <w:rPr>
                <w:b/>
              </w:rPr>
              <w:t>activités de la vie</w:t>
            </w:r>
            <w:r>
              <w:rPr/>
              <w:t xml:space="preserve"> </w:t>
            </w:r>
            <w:r>
              <w:rPr>
                <w:b/>
              </w:rPr>
              <w:t>quotidienne/professionnelle</w:t>
            </w:r>
            <w:r>
              <w:rPr/>
              <w:t xml:space="preserve"> faisant appel à des outils/objets techniques.</w:t>
              <w:br/>
              <w:br/>
              <w:t>Réaliser des objets simples en suivant un montage :</w:t>
            </w:r>
            <w:r>
              <w:rPr>
                <w:b/>
              </w:rPr>
              <w:t xml:space="preserve"> mécanique.</w:t>
            </w:r>
          </w:p>
        </w:tc>
        <w:tc>
          <w:tcPr>
            <w:tcW w:w="3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Réaliser des circuits </w:t>
            </w:r>
            <w:r>
              <w:rPr>
                <w:b/>
              </w:rPr>
              <w:t>électriques.</w:t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/>
              </w:rPr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>
                <w:b/>
              </w:rPr>
              <w:t>I</w:t>
            </w:r>
            <w:r>
              <w:rPr/>
              <w:t>dentifier les propriétés de la matière vis-à-vis du courant électrique</w:t>
            </w:r>
            <w:r>
              <w:rPr>
                <w:b/>
              </w:rPr>
              <w:t>.</w:t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>
                <w:b/>
              </w:rPr>
              <w:br/>
              <w:t>Règles élémentaires de sécurité.</w:t>
            </w:r>
          </w:p>
        </w:tc>
      </w:tr>
      <w:tr>
        <w:trPr>
          <w:trHeight w:val="2445" w:hRule="atLeast"/>
        </w:trPr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rPr>
                <w:color w:val="00A853"/>
              </w:rPr>
            </w:pPr>
            <w:r>
              <w:rPr>
                <w:b/>
                <w:bCs/>
                <w:color w:val="00A853"/>
              </w:rPr>
              <w:t>Questionner le temps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>Le rythme cyclique du temps.</w:t>
              <w:br/>
              <w:t>Alternance jour/nuit, les saisons.</w:t>
              <w:br/>
              <w:t>La semaine divisée en jours.</w:t>
              <w:br/>
              <w:t>Les évènements quotidiens, hebdomadaires, récurrents, et leur positionnement les uns par rapport aux autres.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>Lire la date du jour.</w:t>
            </w:r>
          </w:p>
        </w:tc>
        <w:tc>
          <w:tcPr>
            <w:tcW w:w="350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>Le calendrier annuel.</w:t>
              <w:br/>
              <w:t>Comparer, estimer des durées.</w:t>
              <w:br/>
              <w:br/>
              <w:br/>
              <w:t xml:space="preserve">Lire l’heure pile et la </w:t>
            </w:r>
            <w:r>
              <w:rPr/>
              <w:t>demie</w:t>
            </w:r>
            <w:r>
              <w:rPr/>
              <w:t xml:space="preserve"> et la date.</w:t>
            </w:r>
          </w:p>
        </w:tc>
        <w:tc>
          <w:tcPr>
            <w:tcW w:w="350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>Journée divisée en heures, emploie du temps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>Lire l’heure avec les minutes.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</w:tc>
      </w:tr>
      <w:tr>
        <w:trPr/>
        <w:tc>
          <w:tcPr>
            <w:tcW w:w="3501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color w:val="00A853"/>
              </w:rPr>
            </w:pPr>
            <w:r>
              <w:rPr>
                <w:b/>
                <w:bCs/>
                <w:color w:val="00A853"/>
              </w:rPr>
              <w:t>Questionner l’espace</w:t>
            </w:r>
          </w:p>
        </w:tc>
        <w:tc>
          <w:tcPr>
            <w:tcW w:w="3501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Prendre conscience que le temps qui passe est irréversible </w:t>
              <w:br/>
              <w:t>Le temps des parents</w:t>
            </w:r>
          </w:p>
        </w:tc>
        <w:tc>
          <w:tcPr>
            <w:tcW w:w="3501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tabs>
                <w:tab w:val="center" w:pos="1774" w:leader="none"/>
              </w:tabs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>Les générations vivantes et la mémoire familiale</w:t>
            </w:r>
          </w:p>
        </w:tc>
        <w:tc>
          <w:tcPr>
            <w:tcW w:w="350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Comparer les modes de vie </w:t>
            </w:r>
          </w:p>
          <w:p>
            <w:pPr>
              <w:pStyle w:val="Normal"/>
              <w:spacing w:lineRule="auto" w:line="240" w:before="0"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/>
            </w:pPr>
            <w:r>
              <w:rPr/>
              <w:t xml:space="preserve">La frise historique, les périodes </w:t>
            </w:r>
            <w:r>
              <w:rPr/>
              <w:t>(</w:t>
            </w:r>
            <w:r>
              <w:rPr/>
              <w:t>quelques grandes dates et personnages clés)</w:t>
            </w:r>
          </w:p>
        </w:tc>
      </w:tr>
      <w:tr>
        <w:trPr/>
        <w:tc>
          <w:tcPr>
            <w:tcW w:w="3501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</w:tcPr>
          <w:p>
            <w:pPr>
              <w:pStyle w:val="Normal"/>
              <w:spacing w:lineRule="auto" w:line="240" w:before="0" w:after="0"/>
              <w:rPr>
                <w:b/>
                <w:b/>
                <w:bCs/>
                <w:color w:val="00A853"/>
              </w:rPr>
            </w:pPr>
            <w:r>
              <w:rPr>
                <w:b/>
                <w:bCs/>
                <w:color w:val="00A853"/>
              </w:rPr>
              <w:t>Explorer les organisations du monde</w:t>
            </w:r>
          </w:p>
        </w:tc>
        <w:tc>
          <w:tcPr>
            <w:tcW w:w="3501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>
                <w:u w:val="single"/>
              </w:rPr>
              <w:t>Environnement proche :</w:t>
            </w:r>
            <w:r>
              <w:rPr/>
              <w:t xml:space="preserve"> </w:t>
              <w:br/>
              <w:t>- La classe, l’école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 xml:space="preserve">Vocabulaire : gauche – droite – au-dessus – en-dessous – sur – sous – devant-derrière – près- loin </w:t>
            </w:r>
          </w:p>
        </w:tc>
        <w:tc>
          <w:tcPr>
            <w:tcW w:w="3501" w:type="dxa"/>
            <w:tcBorders>
              <w:left w:val="single" w:sz="2" w:space="0" w:color="000001"/>
              <w:bottom w:val="single" w:sz="2" w:space="0" w:color="000001"/>
              <w:insideH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>
                <w:u w:val="single"/>
              </w:rPr>
              <w:t>Environnement proche :</w:t>
            </w:r>
            <w:r>
              <w:rPr/>
              <w:t xml:space="preserve"> </w:t>
              <w:br/>
              <w:t>Le quartier, la ville</w:t>
              <w:b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br/>
              <w:t>Vocabulaire : différentes vues</w:t>
            </w:r>
          </w:p>
        </w:tc>
        <w:tc>
          <w:tcPr>
            <w:tcW w:w="3500" w:type="dxa"/>
            <w:tcBorders>
              <w:left w:val="single" w:sz="2" w:space="0" w:color="000001"/>
              <w:bottom w:val="single" w:sz="2" w:space="0" w:color="000001"/>
              <w:right w:val="single" w:sz="2" w:space="0" w:color="000001"/>
              <w:insideH w:val="single" w:sz="2" w:space="0" w:color="000001"/>
              <w:insideV w:val="single" w:sz="2" w:space="0" w:color="000001"/>
            </w:tcBorders>
            <w:shd w:fill="auto" w:val="clear"/>
            <w:tcMar>
              <w:left w:w="51" w:type="dxa"/>
            </w:tcMar>
            <w:vAlign w:val="center"/>
          </w:tcPr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>
                <w:u w:val="single"/>
              </w:rPr>
              <w:t>Environnement lointain :</w:t>
            </w:r>
            <w:r>
              <w:rPr/>
              <w:t xml:space="preserve"> 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 xml:space="preserve">Identifier des </w:t>
            </w:r>
            <w:r>
              <w:rPr>
                <w:b/>
              </w:rPr>
              <w:t>représentations globales de la Terre et du monde.</w:t>
            </w:r>
          </w:p>
          <w:p>
            <w:pPr>
              <w:pStyle w:val="Normal"/>
              <w:spacing w:lineRule="auto" w:line="240" w:before="0"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/>
            </w:pPr>
            <w:r>
              <w:rPr/>
              <w:t>S</w:t>
            </w:r>
            <w:r>
              <w:rPr/>
              <w:t xml:space="preserve">avoir que la Terre fait partie d’un </w:t>
            </w:r>
            <w:r>
              <w:rPr>
                <w:b/>
              </w:rPr>
              <w:t xml:space="preserve">univers </w:t>
            </w:r>
            <w:r>
              <w:rPr/>
              <w:t xml:space="preserve">très vaste composé de différents types d’astres. </w:t>
              <w:br/>
              <w:br/>
              <w:t xml:space="preserve">Vocabulaire : Points cardinaux </w:t>
            </w:r>
          </w:p>
        </w:tc>
      </w:tr>
    </w:tbl>
    <w:p>
      <w:pPr>
        <w:pStyle w:val="Normal"/>
        <w:jc w:val="center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orient="landscape" w:w="16838" w:h="11906"/>
      <w:pgMar w:left="1417" w:right="1417" w:header="0" w:top="1417" w:footer="0" w:bottom="1417" w:gutter="0"/>
      <w:pgNumType w:fmt="decimal"/>
      <w:formProt w:val="false"/>
      <w:textDirection w:val="lrTb"/>
      <w:docGrid w:type="default" w:linePitch="360" w:charSpace="4294965247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libri Light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Wingdings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fr-FR" w:eastAsia="en-US" w:bidi="ar-SA"/>
      </w:rPr>
    </w:rPrDefault>
    <w:pPrDefault>
      <w:pPr/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00000A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Car" w:customStyle="1">
    <w:name w:val="Titre Car"/>
    <w:basedOn w:val="DefaultParagraphFont"/>
    <w:link w:val="Titre"/>
    <w:uiPriority w:val="10"/>
    <w:qFormat/>
    <w:rsid w:val="00277257"/>
    <w:rPr>
      <w:rFonts w:ascii="Calibri Light" w:hAnsi="Calibri Light" w:eastAsia="" w:cs="" w:asciiTheme="majorHAnsi" w:cstheme="majorBidi" w:eastAsiaTheme="majorEastAsia" w:hAnsiTheme="majorHAnsi"/>
      <w:spacing w:val="-10"/>
      <w:sz w:val="56"/>
      <w:szCs w:val="56"/>
    </w:rPr>
  </w:style>
  <w:style w:type="paragraph" w:styleId="Titre">
    <w:name w:val="Titre"/>
    <w:basedOn w:val="Normal"/>
    <w:next w:val="Corpsdetexte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sdetexte">
    <w:name w:val="Body Text"/>
    <w:basedOn w:val="Normal"/>
    <w:pPr>
      <w:spacing w:lineRule="auto" w:line="288" w:before="0" w:after="140"/>
    </w:pPr>
    <w:rPr/>
  </w:style>
  <w:style w:type="paragraph" w:styleId="Liste">
    <w:name w:val="List"/>
    <w:basedOn w:val="Corpsdetexte"/>
    <w:pPr/>
    <w:rPr>
      <w:rFonts w:cs="Lucida Sans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reprincipal">
    <w:name w:val="Title"/>
    <w:basedOn w:val="Normal"/>
    <w:next w:val="Normal"/>
    <w:link w:val="TitreCar"/>
    <w:uiPriority w:val="10"/>
    <w:qFormat/>
    <w:rsid w:val="00277257"/>
    <w:pPr>
      <w:spacing w:lineRule="auto" w:line="240" w:before="0" w:after="0"/>
      <w:contextualSpacing/>
    </w:pPr>
    <w:rPr>
      <w:rFonts w:ascii="Calibri Light" w:hAnsi="Calibri Light" w:eastAsia="" w:cs="" w:asciiTheme="majorHAnsi" w:cstheme="majorBidi" w:eastAsiaTheme="majorEastAsia" w:hAnsiTheme="majorHAnsi"/>
      <w:spacing w:val="-10"/>
      <w:sz w:val="56"/>
      <w:szCs w:val="56"/>
    </w:rPr>
  </w:style>
  <w:style w:type="paragraph" w:styleId="Contenudetableau">
    <w:name w:val="Contenu de tableau"/>
    <w:basedOn w:val="Normal"/>
    <w:qFormat/>
    <w:pPr/>
    <w:rPr/>
  </w:style>
  <w:style w:type="paragraph" w:styleId="Titredetableau">
    <w:name w:val="Titre de tableau"/>
    <w:basedOn w:val="Contenudetableau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Grilledutableau">
    <w:name w:val="Table Grid"/>
    <w:basedOn w:val="TableauNormal"/>
    <w:uiPriority w:val="39"/>
    <w:rsid w:val="00277257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auGrille5Fonc-Accentuation2">
    <w:name w:val="Grid Table 5 Dark Accent 2"/>
    <w:basedOn w:val="TableauNormal"/>
    <w:uiPriority w:val="50"/>
    <w:rsid w:val="007779b2"/>
    <w:pPr>
      <w:spacing w:after="0" w:line="240" w:lineRule="auto"/>
    </w:pPr>
    <w:tblPr>
      <w:tblStyleRowBandSize w:val="1"/>
      <w:tblStyleColBandSize w:val="1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Application>LibreOffice/5.3.7.2$Windows_x86 LibreOffice_project/6b8ed514a9f8b44d37a1b96673cbbdd077e24059</Application>
  <Pages>2</Pages>
  <Words>334</Words>
  <Characters>2046</Characters>
  <CharactersWithSpaces>2369</CharactersWithSpaces>
  <Paragraphs>40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2017-08-18T15:09:00Z</dcterms:created>
  <dc:creator>joanna mano</dc:creator>
  <dc:description/>
  <dc:language>fr-FR</dc:language>
  <cp:lastModifiedBy/>
  <dcterms:modified xsi:type="dcterms:W3CDTF">2019-08-28T17:14:35Z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